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楚雄州2024年第二批、第三批风电项目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/>
        </w:rPr>
        <w:t>市场化竞争配置报名表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6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报名企业（公章）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拟竞争配置标段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报名经办人</w:t>
            </w:r>
          </w:p>
        </w:tc>
        <w:tc>
          <w:tcPr>
            <w:tcW w:w="6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（签名）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eastAsia="zh-CN"/>
              </w:rPr>
              <w:t>年    月    日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3C37"/>
    <w:rsid w:val="5EB4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2025-01-13T01:59:00Z</dcterms:created>
  <dc:creator>User</dc:creator>
  <cp:lastModifiedBy>User</cp:lastModifiedBy>
  <dcterms:modified xsi:type="dcterms:W3CDTF">2025-01-13T01:59:23Z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339B0247B7074DFAA17BC6A06FCFCFEE</vt:lpwstr>
  </property>
</Properties>
</file>